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projekcie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partnerski pn. „Podnoszenie jakości zasobów turystycznych Doliny rzeki Pilicy poprzez rozwój infrastruktury rekreacyjno-wypoczynkowej w Powiecie Tomaszowskim”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Gmina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Tomaszów Mazowiecki,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partnerami: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Powiat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Tomaszowski, </w:t>
      </w:r>
      <w:r>
        <w:rPr>
          <w:rFonts w:ascii="calibri" w:hAnsi="calibri" w:eastAsia="calibri" w:cs="calibri"/>
          <w:sz w:val="24"/>
          <w:szCs w:val="24"/>
        </w:rPr>
        <w:t xml:space="preserve">Gmina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Tomaszów Mazowiecki,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Gmina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Rzeczyca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Gmina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Inowłódz.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połączeniu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partnerów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zagospodarowania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turystyczno-rekreacyjno-wypoczynkowego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Dolinie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Pilicy.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tomaszowski odpowiada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ramach projektu marki Doliny rzeki Pilicy.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Celem głównym projektu</w:t>
      </w:r>
      <w:r>
        <w:rPr>
          <w:rFonts w:ascii="calibri" w:hAnsi="calibri" w:eastAsia="calibri" w:cs="calibri"/>
          <w:sz w:val="24"/>
          <w:szCs w:val="24"/>
        </w:rPr>
        <w:t xml:space="preserve"> zwiększenie wykorzystania walorów krajobrazowych i kulturowych oraz stworzenie warunków do rozwoju gospodarki turystycznej w oparciu o wykorzystanie potencjału endogenicznego regionu – Obszaru Funkcjonalnego Doliny rzeki Pilicy.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Bezpośrednim celem projektu jest rozwój turystyki kulturowej i aktywnej w tym kajakowej, pieszej i rowerowej w oparciu o walory przyrodnicze i kulturowe Doliny rzeki Pilicy. Cel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pośredni to poszerzenie oferty turystycznej o nowe produkty i usługi turystyczne, rozwój gospodarki turystycznej, w tym powstanie nowych miejsc pracy oraz wykreowanie rozpoznawalnej i cenionej w skali kraju marki turystycznej Dolina rzeki Pilicy.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Efektem projektu </w:t>
      </w:r>
      <w:r>
        <w:rPr>
          <w:rFonts w:ascii="calibri" w:hAnsi="calibri" w:eastAsia="calibri" w:cs="calibri"/>
          <w:sz w:val="24"/>
          <w:szCs w:val="24"/>
        </w:rPr>
        <w:t xml:space="preserve">jest budowa oraz przebudowa infrastruktury turystycznej do obsługi turystyki kajakowej, szlaku pieszo-rowerowego oraz ścieżki rowerowej wraz zagospodarowaniem terenu oraz przeprowadzenie kampanii promującej ofertę turystyczną.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ramach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zrealizowali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następujące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inwestycje: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Gmina Tomaszów Mazowiecki: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edukacyjno-rekreacyjny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„Edukacja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leśna”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miejscowości Tresta;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rozbudowa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obiektu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użyteczności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celów kulturalno-turystycznych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zagospodarowaniem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wokół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miejscowości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Twarda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(przedszkole i świetlica);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turystyki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kajakowej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infrastrukturą towarzyszącą w Smardzewicach;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ścieżka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rowerowa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miejscowości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Smardzewice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miejscowości Tresta i Twarda.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Gmina Miasto Tomaszów Mazowiecki: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„Przystań nad rzeką Pilicą” przy ul. PCK.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Gmina Inowłódz: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rekreacyjno-wypoczynkowo-turystycznej,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turystyki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kajakowej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miejscowości Spała;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rozbudowa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istniejącej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rekreacyjno-wypoczynkowo-turystycznej,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turystyki kajakowej w miejscowości Inowłódz.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Gmina Rzeczyca: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turystyki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kajakowej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infrastrukturą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towarzyszącą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miejscowościach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Łęg i Grotowice;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szlak pieszo-rowerowy relacji Żądłowice – Łęg;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szlak pieszo-rowerowy relacji Mysiakowiec – Grotowice;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ścieżka rowerowa przez rezerwat Żądłowice.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Powiat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Tomaszowski: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przewodnik turystyczny po Dolinie rzeki Pilicy;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internetowa i QR kody;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logotyp wraz z hasłem reklamowym;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 promocyjna oraz wirtualne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zakończenia finansowego projektu: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31.05.2021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Całkowita wartość projektu </w:t>
      </w:r>
      <w:r>
        <w:rPr>
          <w:rFonts w:ascii="calibri" w:hAnsi="calibri" w:eastAsia="calibri" w:cs="calibri"/>
          <w:sz w:val="24"/>
          <w:szCs w:val="24"/>
        </w:rPr>
        <w:t xml:space="preserve">(w dniu podpisania umowy o dofinansowanie)</w:t>
      </w:r>
      <w:r>
        <w:rPr>
          <w:rFonts w:ascii="calibri" w:hAnsi="calibri" w:eastAsia="calibri" w:cs="calibri"/>
          <w:sz w:val="24"/>
          <w:szCs w:val="24"/>
          <w:b/>
        </w:rPr>
        <w:t xml:space="preserve">: 11 081 007,00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EFRR: 7 133 459,51 PLN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Projekt nr RPLD.06.02.01-10-0059/17 jest współfinansowany przez Unię Europejską z Europejskiego Funduszu Rozwoju Regionalnego w ramach Regionalnego Programu Operacyjnego Województwa Łódzkiego na lata 2014-2020,</w:t>
      </w:r>
    </w:p>
    <w:p>
      <w:r>
        <w:rPr>
          <w:rFonts w:ascii="calibri" w:hAnsi="calibri" w:eastAsia="calibri" w:cs="calibri"/>
          <w:sz w:val="24"/>
          <w:szCs w:val="24"/>
        </w:rPr>
        <w:t xml:space="preserve">Oś Priorytetowa VI Rewitalizacja i potencjał endogeniczny regionu,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Działanie VI.2 Rozwój gospodarki turystycznej,</w:t>
      </w:r>
    </w:p>
    <w:p>
      <w:r>
        <w:rPr>
          <w:rFonts w:ascii="calibri" w:hAnsi="calibri" w:eastAsia="calibri" w:cs="calibri"/>
          <w:sz w:val="24"/>
          <w:szCs w:val="24"/>
        </w:rPr>
        <w:t xml:space="preserve">Poddziałanie VI.2.1 Rozwój gospodarki turystycznej.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2026-03-23T07:30:25+01:00</dcterms:created>
  <dcterms:modified xsi:type="dcterms:W3CDTF">2026-03-23T07:30:25+01:00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